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705"/>
        <w:tblW w:w="9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9196"/>
      </w:tblGrid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5C77">
              <w:rPr>
                <w:rFonts w:ascii="Arial" w:eastAsia="Times New Roman" w:hAnsi="Arial" w:cs="Arial"/>
                <w:b/>
                <w:bCs/>
                <w:color w:val="000000"/>
              </w:rPr>
              <w:t>CODE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5C77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A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Financial Rewards and Incentives Set-Aside (Not to Exceed 5%)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B-1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Parent and Family Engagement for LEAs with $500,000 or less set-aside</w:t>
            </w:r>
            <w:bookmarkStart w:id="0" w:name="_GoBack"/>
            <w:bookmarkEnd w:id="0"/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B-2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Parent and Family Engagement for LEAs with greater than $500,000 set-aside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C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Homeless Education Set-Aside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D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Neglected &amp; Delinquent Education Set-Aside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E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Educational Services Funded at the LEA-Level (Not to Exceed 1%)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F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Discretionary Educational Services Funded at the School-Level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G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Early Childhood Set-Aside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H-1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Private School Administrative Costs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H-2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Private School Parent and Family Engagement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H-3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Private School Professional Development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H-4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Private School Instructional Services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>
              <w:rPr>
                <w:rFonts w:eastAsia="Times New Roman" w:cs="Arial"/>
                <w:color w:val="000000"/>
                <w:sz w:val="32"/>
                <w:szCs w:val="20"/>
              </w:rPr>
              <w:t>H-5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>
              <w:rPr>
                <w:rFonts w:eastAsia="Times New Roman" w:cs="Arial"/>
                <w:color w:val="000000"/>
                <w:sz w:val="32"/>
                <w:szCs w:val="20"/>
              </w:rPr>
              <w:t>Private School Roll-Forward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I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>
              <w:rPr>
                <w:rFonts w:eastAsia="Times New Roman" w:cs="Arial"/>
                <w:color w:val="000000"/>
                <w:sz w:val="32"/>
                <w:szCs w:val="20"/>
              </w:rPr>
              <w:t xml:space="preserve">2018-2019 </w:t>
            </w: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Roll-Forward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J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Transportation for Foster Care Children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K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Administrative Costs (Including Indirect Costs) - Not to Exceed 10%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L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Reimbursements for Charter School Expenditures</w:t>
            </w:r>
          </w:p>
        </w:tc>
      </w:tr>
      <w:tr w:rsidR="00335C77" w:rsidRPr="00335C77" w:rsidTr="00335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M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5C77" w:rsidRPr="00335C77" w:rsidRDefault="00335C77" w:rsidP="00335C77">
            <w:pPr>
              <w:spacing w:before="60" w:after="0" w:line="288" w:lineRule="atLeast"/>
              <w:rPr>
                <w:rFonts w:eastAsia="Times New Roman" w:cs="Arial"/>
                <w:color w:val="000000"/>
                <w:sz w:val="32"/>
                <w:szCs w:val="20"/>
              </w:rPr>
            </w:pPr>
            <w:r w:rsidRPr="00335C77">
              <w:rPr>
                <w:rFonts w:eastAsia="Times New Roman" w:cs="Arial"/>
                <w:color w:val="000000"/>
                <w:sz w:val="32"/>
                <w:szCs w:val="20"/>
              </w:rPr>
              <w:t>Transportation for School Choice (Not to Exceed 5%)</w:t>
            </w:r>
          </w:p>
        </w:tc>
      </w:tr>
    </w:tbl>
    <w:p w:rsidR="008C6369" w:rsidRDefault="00335C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Program 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Reservation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Codes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335C77" w:rsidRDefault="00335C77"/>
    <w:sectPr w:rsidR="0033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77"/>
    <w:rsid w:val="00001FA7"/>
    <w:rsid w:val="00335C77"/>
    <w:rsid w:val="008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42A37-0394-47AA-BFBC-A477FB56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Ring, Daniel</dc:creator>
  <cp:keywords/>
  <dc:description/>
  <cp:lastModifiedBy>Ring, Daniel</cp:lastModifiedBy>
  <cp:revision>1</cp:revision>
  <cp:lastPrinted>2019-05-10T17:39:00Z</cp:lastPrinted>
  <dcterms:created xsi:type="dcterms:W3CDTF">2019-05-10T17:33:00Z</dcterms:created>
  <dcterms:modified xsi:type="dcterms:W3CDTF">2019-05-10T18:18:00Z</dcterms:modified>
</cp:coreProperties>
</file>